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rPr>
          <w:rFonts w:ascii="Times New Roman" w:hAnsi="Times New Roman"/>
          <w:sz w:val="24"/>
          <w:szCs w:val="24"/>
        </w:rPr>
      </w:pPr>
      <w:r>
        <w:rPr>
          <w:rFonts w:ascii="Times New Roman" w:hAnsi="Times New Roman"/>
          <w:sz w:val="24"/>
          <w:szCs w:val="24"/>
        </w:rPr>
        <w:t xml:space="preserve">Main directions of activity of the Committee in 2020 </w:t>
      </w:r>
    </w:p>
    <w:p>
      <w:pPr>
        <w:pStyle w:val="Style19"/>
        <w:rPr>
          <w:rFonts w:ascii="Times New Roman" w:hAnsi="Times New Roman"/>
          <w:sz w:val="24"/>
          <w:szCs w:val="24"/>
        </w:rPr>
      </w:pPr>
      <w:r>
        <w:rPr>
          <w:rFonts w:ascii="Times New Roman" w:hAnsi="Times New Roman"/>
          <w:sz w:val="24"/>
          <w:szCs w:val="24"/>
        </w:rPr>
      </w:r>
    </w:p>
    <w:tbl>
      <w:tblPr>
        <w:tblW w:w="14570" w:type="dxa"/>
        <w:jc w:val="left"/>
        <w:tblInd w:w="0" w:type="dxa"/>
        <w:tblCellMar>
          <w:top w:w="55" w:type="dxa"/>
          <w:left w:w="55" w:type="dxa"/>
          <w:bottom w:w="55" w:type="dxa"/>
          <w:right w:w="55" w:type="dxa"/>
        </w:tblCellMar>
      </w:tblPr>
      <w:tblGrid>
        <w:gridCol w:w="10665"/>
        <w:gridCol w:w="3905"/>
      </w:tblGrid>
      <w:tr>
        <w:trPr/>
        <w:tc>
          <w:tcPr>
            <w:tcW w:w="14570" w:type="dxa"/>
            <w:gridSpan w:val="2"/>
            <w:tcBorders>
              <w:top w:val="single" w:sz="4" w:space="0" w:color="000000"/>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b/>
                <w:bCs/>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bCs/>
                <w:i w:val="false"/>
                <w:iCs w:val="false"/>
                <w:strike w:val="false"/>
                <w:dstrike w:val="false"/>
                <w:outline w:val="false"/>
                <w:shadow w:val="false"/>
                <w:color w:val="000000"/>
                <w:sz w:val="24"/>
                <w:szCs w:val="24"/>
                <w:u w:val="none"/>
              </w:rPr>
              <w:t>I. Participation in the implementation of the "Regulatory Guillotine".</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1. Participation in the discussion, revision and adoption of the Federal law "On mandatory requirements".</w:t>
              <w:br/>
              <w:t>2. Participation in the preparation of draft amendments to the Federal laws "On ensuring the uniformity of measurements", "on technical regulation", "on accreditation in the national accreditation system".</w:t>
              <w:br/>
              <w:t>3. Preparation of proposals for Lists of normative legal acts containing mandatory requirements, compliance with which is evaluated when conducting control (Supervisory) measures by Federal Executive authorities.</w:t>
              <w:br/>
              <w:t>4. Work in the framework of Working groups on the implementation of the "regulatory guillotine" mechanism in the field of "Ensuring the uniformity of measurements" and "conformity Assessment".</w:t>
              <w:br/>
              <w:t>5. Organization of discussion and preparation of proposals:</w:t>
              <w:br/>
              <w:t>• the structure of regulatory;</w:t>
              <w:br/>
              <w:t>• according to the lists of regulatory legal acts planned for adoption;</w:t>
              <w:br/>
              <w:t>• draft regulatory legal acts within the framework of the implementation by Federal Executive authorities of the action plan ("road map") for the implementation of the"regulatory guillotine" mechanism</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During the year</w:t>
            </w:r>
          </w:p>
        </w:tc>
      </w:tr>
      <w:tr>
        <w:trPr/>
        <w:tc>
          <w:tcPr>
            <w:tcW w:w="14570" w:type="dxa"/>
            <w:gridSpan w:val="2"/>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b/>
                <w:bCs/>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bCs/>
                <w:i w:val="false"/>
                <w:iCs w:val="false"/>
                <w:strike w:val="false"/>
                <w:dstrike w:val="false"/>
                <w:outline w:val="false"/>
                <w:shadow w:val="false"/>
                <w:color w:val="000000"/>
                <w:sz w:val="24"/>
                <w:szCs w:val="24"/>
                <w:u w:val="none"/>
              </w:rPr>
              <w:t xml:space="preserve">II. Participation in the preparation of decisions and draft documents of the Eurasian </w:t>
            </w:r>
            <w:r>
              <w:rPr>
                <w:rFonts w:eastAsia="NSimSun" w:cs="Liberation Mono" w:ascii="Times New Roman" w:hAnsi="Times New Roman"/>
                <w:b/>
                <w:bCs/>
                <w:i w:val="false"/>
                <w:iCs w:val="false"/>
                <w:strike w:val="false"/>
                <w:dstrike w:val="false"/>
                <w:outline w:val="false"/>
                <w:shadow w:val="false"/>
                <w:color w:val="000000"/>
                <w:sz w:val="24"/>
                <w:szCs w:val="24"/>
                <w:u w:val="none"/>
                <w:lang w:val="en-US"/>
              </w:rPr>
              <w:t>E</w:t>
            </w:r>
            <w:r>
              <w:rPr>
                <w:rFonts w:eastAsia="NSimSun" w:cs="Liberation Mono" w:ascii="Times New Roman" w:hAnsi="Times New Roman"/>
                <w:b/>
                <w:bCs/>
                <w:i w:val="false"/>
                <w:iCs w:val="false"/>
                <w:strike w:val="false"/>
                <w:dstrike w:val="false"/>
                <w:outline w:val="false"/>
                <w:shadow w:val="false"/>
                <w:color w:val="000000"/>
                <w:sz w:val="24"/>
                <w:szCs w:val="24"/>
                <w:u w:val="none"/>
              </w:rPr>
              <w:t>conomic Uni</w:t>
            </w:r>
            <w:r>
              <w:rPr>
                <w:rFonts w:eastAsia="NSimSun" w:cs="Liberation Mono" w:ascii="Times New Roman" w:hAnsi="Times New Roman"/>
                <w:b/>
                <w:bCs/>
                <w:i w:val="false"/>
                <w:iCs w:val="false"/>
                <w:strike w:val="false"/>
                <w:dstrike w:val="false"/>
                <w:outline w:val="false"/>
                <w:shadow w:val="false"/>
                <w:color w:val="000000"/>
                <w:sz w:val="24"/>
                <w:szCs w:val="24"/>
                <w:u w:val="none"/>
                <w:lang w:val="en-US"/>
              </w:rPr>
              <w:t>on</w:t>
            </w:r>
          </w:p>
        </w:tc>
      </w:tr>
      <w:tr>
        <w:trPr>
          <w:trHeight w:val="4506" w:hRule="atLeast"/>
        </w:trPr>
        <w:tc>
          <w:tcPr>
            <w:tcW w:w="10665" w:type="dxa"/>
            <w:tcBorders>
              <w:left w:val="single" w:sz="4" w:space="0" w:color="000000"/>
              <w:bottom w:val="single" w:sz="4" w:space="0" w:color="000000"/>
            </w:tcBorders>
            <w:shd w:fill="auto" w:val="clear"/>
          </w:tcPr>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Participation in development:</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Technical regulations of the Eurasian economic Union (hereinafter referred to as the EEU) and draft amendments to technical regulations in accordance with the "Plan for the development of technical regulations of the EEU and amendments to technical regulations of the Customs Union", approved by the decision of the EEC Council dated 01.10.2014 No. 79</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Lists of standards to the technical regulations of the EEU and changes to them</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Programs for developing interstate standards for technical regulations</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Methodological documents in the field of conformity assessment and ensuring the uniformity of measurements.</w:t>
            </w:r>
          </w:p>
          <w:p>
            <w:pPr>
              <w:pStyle w:val="Style1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Preparation of proposals for consideration at the meetings of the subcommittees of the Advisory Committee on technical regulation, application of sanitary, veterinary and phytosanitary measures under the Board of the EEC.</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lang w:val="en-US"/>
              </w:rPr>
              <w:t>D</w:t>
            </w: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uring the year</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 xml:space="preserve"> </w:t>
            </w: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 xml:space="preserve">Preparation of proposals for amendments to </w:t>
            </w: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lang w:val="en-US"/>
              </w:rPr>
              <w:t>t</w:t>
            </w: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he agreement on the Eurasian economic Union dated may 29, 2014 in terms of clarifying the concept of "manufacturer's authorized person". Establishment of requirements at the ECE level for the "Manufacturer's authorized person”</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January-June</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Organization and discussion of the draft recommendations of the EEC Council "on the procedure for coordinating standardization activities within the framework of the Eurasian economic Union". Preparation of proposals for its improvement</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January-February</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lang w:val="en-US"/>
              </w:rPr>
              <w:t>P</w:t>
            </w: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reparation of proposals for amendments to the decision of the EEC Council dated 20.06.2012 No. 48 "On the Procedure for developing, adopting, changing and canceling technical regulations of the Eurasian economic Union", which provide for shortening the time and optimizing the procedures for developing and adopting technical regulations and making changes to them, as well as conducting regular analysis of the development of draft technical regulations (changes to technical regulations), monitoring and control of the application of adopted technical regulations.</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January-April</w:t>
            </w:r>
          </w:p>
        </w:tc>
      </w:tr>
      <w:tr>
        <w:trPr/>
        <w:tc>
          <w:tcPr>
            <w:tcW w:w="14570" w:type="dxa"/>
            <w:gridSpan w:val="2"/>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b/>
                <w:bCs/>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bCs/>
                <w:i w:val="false"/>
                <w:iCs w:val="false"/>
                <w:strike w:val="false"/>
                <w:dstrike w:val="false"/>
                <w:outline w:val="false"/>
                <w:shadow w:val="false"/>
                <w:color w:val="000000"/>
                <w:sz w:val="24"/>
                <w:szCs w:val="24"/>
                <w:u w:val="none"/>
              </w:rPr>
              <w:t>III. Participation in the preparation of regulatory legal documents of the Russian Federation.</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Participation in preparation of draft Federal laws:</w:t>
              <w:br/>
              <w:t>• "On amendments to the Federal law " on standardization in the Russian Federation", in terms of including issues of digitalization and clarifying the conceptual apparatus;</w:t>
              <w:br/>
              <w:t>• "On amendments to the Federal law" on technical regulation " in terms of reducing the cost of confirming compliance by SMEs.;</w:t>
              <w:br/>
              <w:t>Participation in the preparation of documents for the implementation of the action Plan ("road map") for the implementation of the main directions of standardization development for the period up to 2027;Participation in the preparation of normative legal acts defining the activities of the National certification system.Preparation of opinions on draft normative legal acts within the framework of public discussions and regulatory impact assessment.</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 xml:space="preserve">During the year </w:t>
            </w:r>
          </w:p>
        </w:tc>
      </w:tr>
      <w:tr>
        <w:trPr/>
        <w:tc>
          <w:tcPr>
            <w:tcW w:w="14570" w:type="dxa"/>
            <w:gridSpan w:val="2"/>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b/>
                <w:bCs/>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bCs/>
                <w:i w:val="false"/>
                <w:iCs w:val="false"/>
                <w:strike w:val="false"/>
                <w:dstrike w:val="false"/>
                <w:outline w:val="false"/>
                <w:shadow w:val="false"/>
                <w:color w:val="000000"/>
                <w:sz w:val="24"/>
                <w:szCs w:val="24"/>
                <w:u w:val="none"/>
              </w:rPr>
              <w:t>IV. Promotion of digitalization.</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Preparation of proposals for improving legal regulation in order to develop the digital economy.</w:t>
              <w:br/>
              <w:t>Ensuring the work of the competence Center for IT standardization.</w:t>
              <w:br/>
              <w:t>Participation in the implementation of the Russian-German digitalization initiative.</w:t>
              <w:br/>
              <w:t>Conducting expertise and preparing conclusions on draft documents on the formation and development of the digital space of the EEU.</w:t>
              <w:br/>
              <w:t>Participation in the work of the RSPP Committee on digital economy and the Subcommittee on digital economy and innovation of the RSPP Committee on international cooperation.</w:t>
              <w:br/>
              <w:t>Organization of inter-University cooperation in training personnel to ensure the digital transformation of production. The URFU , Higher school of Economics, University of Graz (Austria), Dresden University of technology (Germany), Vienna University of Technology (Austria).</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During the year</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 xml:space="preserve">Assistance in organizing and conducting the XI International scientific and practical conference "Standardization, certification, ensuring the effectiveness, quality and security of information technologies" (IT – Standard 2020), Moscow. </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March</w:t>
            </w:r>
          </w:p>
        </w:tc>
      </w:tr>
      <w:tr>
        <w:trPr/>
        <w:tc>
          <w:tcPr>
            <w:tcW w:w="14570" w:type="dxa"/>
            <w:gridSpan w:val="2"/>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b/>
                <w:bCs/>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bCs/>
                <w:i w:val="false"/>
                <w:iCs w:val="false"/>
                <w:strike w:val="false"/>
                <w:dstrike w:val="false"/>
                <w:outline w:val="false"/>
                <w:shadow w:val="false"/>
                <w:color w:val="000000"/>
                <w:sz w:val="24"/>
                <w:szCs w:val="24"/>
                <w:u w:val="none"/>
              </w:rPr>
              <w:t>V. Work in coordinating and advisory bodies under the Eurasian Economic Commission (EEC).</w:t>
            </w:r>
          </w:p>
        </w:tc>
      </w:tr>
      <w:tr>
        <w:trPr/>
        <w:tc>
          <w:tcPr>
            <w:tcW w:w="10665" w:type="dxa"/>
            <w:tcBorders>
              <w:left w:val="single" w:sz="4" w:space="0" w:color="000000"/>
              <w:bottom w:val="single" w:sz="4" w:space="0" w:color="000000"/>
            </w:tcBorders>
            <w:shd w:fill="auto" w:val="clear"/>
          </w:tcPr>
          <w:p>
            <w:pPr>
              <w:pStyle w:val="Style19"/>
              <w:rPr>
                <w:rFonts w:ascii="Times New Roman" w:hAnsi="Times New Roman"/>
                <w:sz w:val="24"/>
                <w:szCs w:val="24"/>
              </w:rPr>
            </w:pPr>
            <w:r>
              <w:rPr>
                <w:rFonts w:ascii="Times New Roman" w:hAnsi="Times New Roman"/>
                <w:sz w:val="24"/>
                <w:szCs w:val="24"/>
              </w:rPr>
              <w:t>1. Advisory Committee on technical regulation, application of sanitary, veterinary and phytosanitary measures under the Board of the EEC.</w:t>
              <w:br/>
              <w:t>2. Business Council of the Eurasian economic Union.</w:t>
              <w:br/>
              <w:t>3. Working group on the main directions of integration development under The Advisory Council on interaction between the EEC and the business Council of the EAEU.</w:t>
              <w:br/>
              <w:t>4. Subcommittees under the Advisory Committee on technical regulation, application of sanitary, veterinary and phytosanitary measures:</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according to technical regulations and standards</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coordination of work in the field of accreditation and conformity assessment</w:t>
              <w:br/>
              <w:t>coordination of work in the field of ensuring the uniformity of measurements</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coordination of work in the field of state control (supervision) over compliance with the requirements of the technical regulations of the Eurasian economic Union</w:t>
            </w:r>
          </w:p>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 xml:space="preserve">    • </w:t>
            </w: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on issues of technical regulation in construction.</w:t>
              <w:br/>
              <w:t>5. Expert group on the elimination of barriers, exemptions and restrictions within the functioning of the internal market of the EEU.</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during the year</w:t>
              <w:br/>
              <w:t>(in accordance with the work plans of the ECE)</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eastAsia="NSimSun" w:cs="Liberation Mono"/>
                <w:b/>
                <w:b/>
                <w:bCs/>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bCs/>
                <w:i w:val="false"/>
                <w:iCs w:val="false"/>
                <w:strike w:val="false"/>
                <w:dstrike w:val="false"/>
                <w:outline w:val="false"/>
                <w:shadow w:val="false"/>
                <w:color w:val="000000"/>
                <w:sz w:val="24"/>
                <w:szCs w:val="24"/>
                <w:u w:val="none"/>
              </w:rPr>
              <w:t>VI. Participation of representatives of the Committee in the work of state authorities of the Russian Federation.</w:t>
            </w:r>
          </w:p>
        </w:tc>
        <w:tc>
          <w:tcPr>
            <w:tcW w:w="3905" w:type="dxa"/>
            <w:tcBorders>
              <w:left w:val="single" w:sz="4" w:space="0" w:color="000000"/>
              <w:bottom w:val="single" w:sz="4" w:space="0" w:color="000000"/>
              <w:right w:val="single" w:sz="4" w:space="0" w:color="000000"/>
            </w:tcBorders>
            <w:shd w:fill="auto" w:val="clear"/>
          </w:tcPr>
          <w:p>
            <w:pPr>
              <w:pStyle w:val="Style20"/>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b w:val="false"/>
                <w:bCs w:val="false"/>
                <w:i w:val="false"/>
                <w:iCs w:val="false"/>
                <w:strike w:val="false"/>
                <w:dstrike w:val="false"/>
                <w:outline w:val="false"/>
                <w:shadow w:val="false"/>
                <w:color w:val="000000"/>
                <w:sz w:val="24"/>
                <w:szCs w:val="24"/>
                <w:u w:val="none"/>
              </w:rPr>
            </w:r>
          </w:p>
        </w:tc>
      </w:tr>
      <w:tr>
        <w:trPr/>
        <w:tc>
          <w:tcPr>
            <w:tcW w:w="10665" w:type="dxa"/>
            <w:tcBorders>
              <w:left w:val="single" w:sz="4" w:space="0" w:color="000000"/>
              <w:bottom w:val="single" w:sz="4" w:space="0" w:color="000000"/>
            </w:tcBorders>
            <w:shd w:fill="auto" w:val="clear"/>
          </w:tcPr>
          <w:p>
            <w:pPr>
              <w:pStyle w:val="Style19"/>
              <w:rPr>
                <w:rFonts w:ascii="Times New Roman" w:hAnsi="Times New Roman"/>
                <w:sz w:val="24"/>
                <w:szCs w:val="24"/>
              </w:rPr>
            </w:pPr>
            <w:r>
              <w:rPr>
                <w:rFonts w:ascii="Times New Roman" w:hAnsi="Times New Roman"/>
                <w:sz w:val="24"/>
                <w:szCs w:val="24"/>
              </w:rPr>
              <w:t>Sub-Commission on technical regulation, application of sanitary, veterinary-sanitary and phytosanitary measures of the Government Commission for economic development and integration.</w:t>
            </w:r>
            <w:r>
              <w:rPr>
                <w:rFonts w:ascii="Times New Roman" w:hAnsi="Times New Roman"/>
                <w:b/>
                <w:bCs/>
                <w:sz w:val="24"/>
                <w:szCs w:val="24"/>
              </w:rPr>
              <w:t>Working groups on the implementation of the "regulatory guillotine" mechanism in the following areas:</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ensuring the uniformity of measurements</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conformity assessment.</w:t>
            </w:r>
          </w:p>
          <w:p>
            <w:pPr>
              <w:pStyle w:val="Style19"/>
              <w:rPr>
                <w:rFonts w:ascii="Times New Roman" w:hAnsi="Times New Roman"/>
                <w:sz w:val="24"/>
                <w:szCs w:val="24"/>
              </w:rPr>
            </w:pPr>
            <w:r>
              <w:rPr>
                <w:rFonts w:ascii="Times New Roman" w:hAnsi="Times New Roman"/>
                <w:b/>
                <w:bCs/>
                <w:sz w:val="24"/>
                <w:szCs w:val="24"/>
              </w:rPr>
              <w:t xml:space="preserve">State Duma </w:t>
            </w:r>
            <w:r>
              <w:rPr>
                <w:rFonts w:ascii="Times New Roman" w:hAnsi="Times New Roman"/>
                <w:sz w:val="24"/>
                <w:szCs w:val="24"/>
              </w:rPr>
              <w:t>of the Federal Assembly of the Russian Federation:</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Expert Council of the energy Committee</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Expert Council on construction, construction materials industry and shared-equity construction issues under the Committee on transport and construction.</w:t>
            </w:r>
          </w:p>
          <w:p>
            <w:pPr>
              <w:pStyle w:val="Style19"/>
              <w:rPr>
                <w:rFonts w:ascii="Times New Roman" w:hAnsi="Times New Roman"/>
                <w:b/>
                <w:b/>
                <w:bCs/>
                <w:sz w:val="24"/>
                <w:szCs w:val="24"/>
              </w:rPr>
            </w:pPr>
            <w:r>
              <w:rPr>
                <w:rFonts w:ascii="Times New Roman" w:hAnsi="Times New Roman"/>
                <w:b/>
                <w:bCs/>
                <w:sz w:val="24"/>
                <w:szCs w:val="24"/>
              </w:rPr>
              <w:t>State Commission for combating illegal turnover of industrial products.</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Participation in the work of the Expert Council under the State Commission for combating illegal industrial turnover, holding meetings, preparing draft decisions.</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Preparation of proposals for consideration at meetings of the Interdepartmental industry working group on protection and improvement of quality control of the industrial products market.</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Work within the framework of the Interdepartmental industry working group on countering illicit trafficking in oil products</w:t>
            </w:r>
          </w:p>
          <w:p>
            <w:pPr>
              <w:pStyle w:val="Style19"/>
              <w:rPr>
                <w:rFonts w:ascii="Times New Roman" w:hAnsi="Times New Roman"/>
                <w:b/>
                <w:b/>
                <w:bCs/>
                <w:sz w:val="24"/>
                <w:szCs w:val="24"/>
              </w:rPr>
            </w:pPr>
            <w:r>
              <w:rPr>
                <w:rFonts w:ascii="Times New Roman" w:hAnsi="Times New Roman"/>
                <w:b/>
                <w:bCs/>
                <w:sz w:val="24"/>
                <w:szCs w:val="24"/>
              </w:rPr>
              <w:t>Ministry of Industry and Trade of Russia:</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Council for technical regulation and standardization</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Council for awarding quality awards of the Government of the Russian Federation</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Expert Council under the State Commission for combating illegal trade in industrial products</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Interdepartmental industry working group for the protection and improvement of quality control of the industrial products market under the State Commission for combating illegal trade in industrial products</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Scientific coordination Council for the implementation of the sub-program "Development of the system of technical regulation, standardization and ensuring the uniformity of measurements" of the state program of the Russian Federation "Development of industry and increasing its competitiveness”</w:t>
            </w:r>
          </w:p>
          <w:p>
            <w:pPr>
              <w:pStyle w:val="Style19"/>
              <w:rPr>
                <w:rFonts w:ascii="Times New Roman" w:hAnsi="Times New Roman"/>
                <w:b/>
                <w:b/>
                <w:bCs/>
                <w:sz w:val="24"/>
                <w:szCs w:val="24"/>
              </w:rPr>
            </w:pPr>
            <w:r>
              <w:rPr>
                <w:rFonts w:ascii="Times New Roman" w:hAnsi="Times New Roman"/>
                <w:b/>
                <w:bCs/>
                <w:sz w:val="24"/>
                <w:szCs w:val="24"/>
              </w:rPr>
              <w:t>Rosstandart:</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Board</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Social council</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Council for standardization</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Board of appeal</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Interdepartmental industry working group on countering illegal turnover of oil products under the State Commission on countering illegal turnover of industrial products.</w:t>
            </w:r>
          </w:p>
          <w:p>
            <w:pPr>
              <w:pStyle w:val="Style19"/>
              <w:rPr>
                <w:rFonts w:ascii="Times New Roman" w:hAnsi="Times New Roman"/>
                <w:b/>
                <w:b/>
                <w:bCs/>
                <w:sz w:val="24"/>
                <w:szCs w:val="24"/>
              </w:rPr>
            </w:pPr>
            <w:r>
              <w:rPr>
                <w:rFonts w:ascii="Times New Roman" w:hAnsi="Times New Roman"/>
                <w:b/>
                <w:bCs/>
                <w:sz w:val="24"/>
                <w:szCs w:val="24"/>
              </w:rPr>
              <w:t>Ministry of Energy of Russia:</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Working group on technical regulation of oil and gas companies.</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Working group on issues of legal support for accounting of extracted, stored and transported hydrocarbon raw materials, produced, stored and sold products of its processing</w:t>
            </w:r>
          </w:p>
          <w:p>
            <w:pPr>
              <w:pStyle w:val="Style19"/>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Ministry of Emetrgency situations of Russia:</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Commission to eliminate excessive administrative pressure on medium and small businesses.</w:t>
            </w:r>
          </w:p>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 xml:space="preserve">      </w:t>
            </w: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Commissions and expert councils at industry associations of Industrialists and entrepreneurs, etc</w:t>
            </w:r>
          </w:p>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r>
          </w:p>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r>
          </w:p>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during the year</w:t>
              <w:br/>
              <w:t>(in accordance with the work plans of state authorities)</w:t>
            </w:r>
          </w:p>
        </w:tc>
      </w:tr>
      <w:tr>
        <w:trPr/>
        <w:tc>
          <w:tcPr>
            <w:tcW w:w="14570" w:type="dxa"/>
            <w:gridSpan w:val="2"/>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b/>
                <w:bCs/>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bCs/>
                <w:i w:val="false"/>
                <w:iCs w:val="false"/>
                <w:strike w:val="false"/>
                <w:dstrike w:val="false"/>
                <w:outline w:val="false"/>
                <w:shadow w:val="false"/>
                <w:color w:val="000000"/>
                <w:sz w:val="24"/>
                <w:szCs w:val="24"/>
                <w:u w:val="none"/>
              </w:rPr>
              <w:t>VII. Interaction with industry and business structures in the field of technical regulation, standardization, conformity assessment and ensuring the uniformity of measurements.</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sz w:val="24"/>
                <w:szCs w:val="24"/>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Assistance to enterprises and organizations in developing a consolidated position on topical issues in the field of the Committee's activities.</w:t>
              <w:br/>
              <w:t>Representation of the position of industry and business in public authorities.</w:t>
              <w:br/>
              <w:t>Monitoring the implementation of technical regulations that have entered into force and providing advice to enterprises on their practical use.</w:t>
              <w:br/>
              <w:t>Distribution and placement on the Committee's website of draft normative legal documents and up-to-date information in the field of technical regulation.</w:t>
              <w:br/>
              <w:t>Interaction with industrial enterprises and associations to collect facts of illegal production and trafficking of counterfeit and falsified products.</w:t>
              <w:br/>
              <w:t>Organization of prompt posting of information, video broadcasts and promotion of information about the Committee's activities through social networks, including Facebook.</w:t>
              <w:br/>
              <w:t>Interaction with educational institutions (educational organizations) of the higher school of Economics and higher education ( HSE, ASMS, etc.) on training in the field of technical regulation, standardization and Metrology.</w:t>
              <w:br/>
              <w:t>Informing the business community about training in educational organizations.</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В</w:t>
            </w: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uring the year</w:t>
            </w:r>
          </w:p>
        </w:tc>
      </w:tr>
      <w:tr>
        <w:trPr/>
        <w:tc>
          <w:tcPr>
            <w:tcW w:w="14570" w:type="dxa"/>
            <w:gridSpan w:val="2"/>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b/>
                <w:bCs/>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bCs/>
                <w:i w:val="false"/>
                <w:iCs w:val="false"/>
                <w:strike w:val="false"/>
                <w:dstrike w:val="false"/>
                <w:outline w:val="false"/>
                <w:shadow w:val="false"/>
                <w:color w:val="000000"/>
                <w:sz w:val="24"/>
                <w:szCs w:val="24"/>
                <w:u w:val="none"/>
              </w:rPr>
              <w:t>VIII. International cooperation.</w:t>
            </w:r>
          </w:p>
        </w:tc>
      </w:tr>
      <w:tr>
        <w:trPr/>
        <w:tc>
          <w:tcPr>
            <w:tcW w:w="10665" w:type="dxa"/>
            <w:tcBorders>
              <w:left w:val="single" w:sz="4" w:space="0" w:color="000000"/>
              <w:bottom w:val="single" w:sz="4" w:space="0" w:color="000000"/>
            </w:tcBorders>
            <w:shd w:fill="auto" w:val="clear"/>
          </w:tcPr>
          <w:p>
            <w:pPr>
              <w:pStyle w:val="Style19"/>
              <w:rPr>
                <w:rFonts w:ascii="Times New Roman" w:hAnsi="Times New Roman"/>
                <w:sz w:val="24"/>
                <w:szCs w:val="24"/>
              </w:rPr>
            </w:pPr>
            <w:r>
              <w:rPr>
                <w:rFonts w:ascii="Times New Roman" w:hAnsi="Times New Roman"/>
                <w:sz w:val="24"/>
                <w:szCs w:val="24"/>
              </w:rPr>
              <w:t>The work of the Council for technical regulation and standardization for the digital economy of the RSPP and the Eastern Committee of the German economy.</w:t>
              <w:br/>
              <w:t>Organization of the Council's Working groups in the main areas of activity.</w:t>
              <w:br/>
              <w:t>Preparation and discussion of the first version of the Council's recommendations (March-may).</w:t>
              <w:br/>
              <w:t>Preparation of proposals for the development of a unified product classifier based on international systems, such as the Ecl@ss standard (February-may).</w:t>
              <w:br/>
              <w:t>Conducting comparative tests for individual types of products and preparing proposals for the harmonization of requirements and procedures for conformity assessment.</w:t>
              <w:br/>
              <w:t>Creating a regulatory framework and standards for high-speed rail transport.</w:t>
              <w:br/>
              <w:t>Organization and holding of the Council meeting in Saint Petersburg (may).</w:t>
              <w:br/>
              <w:t>Presentation of draft recommendations at the XXIV St. Petersburg international economic forum (SPIEF-2020), June 3 - 6, 2020.</w:t>
              <w:br/>
            </w:r>
            <w:r>
              <w:rPr>
                <w:rFonts w:ascii="Times New Roman" w:hAnsi="Times New Roman"/>
                <w:b/>
                <w:bCs/>
                <w:sz w:val="24"/>
                <w:szCs w:val="24"/>
              </w:rPr>
              <w:t>Participation in international and national associations and organizations:</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Working party on standardization policies and regulatory cooperation of the UNECE WP 6.</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Interaction with the Central office and technical committees of ISO and IEC.</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Working group on building a Common Economic Space from Lisbon to Vladivostok.</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Working group on technical regulation of the Association of European businesses in Russia.</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Russian-Chinese group for cooperation in the field of technical regulation (together with Rosstandart).</w:t>
            </w:r>
          </w:p>
          <w:p>
            <w:pPr>
              <w:pStyle w:val="Style19"/>
              <w:rPr>
                <w:rFonts w:ascii="Times New Roman" w:hAnsi="Times New Roman"/>
                <w:b/>
                <w:b/>
                <w:bCs/>
                <w:sz w:val="24"/>
                <w:szCs w:val="24"/>
              </w:rPr>
            </w:pPr>
            <w:r>
              <w:rPr>
                <w:rFonts w:ascii="Times New Roman" w:hAnsi="Times New Roman"/>
                <w:b/>
                <w:bCs/>
                <w:sz w:val="24"/>
                <w:szCs w:val="24"/>
              </w:rPr>
              <w:t>Implementation of Memoranda and agreements:</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Memorandum of cooperation between the RSPP and the Eastern Committee of the German economy in the field of technical regulation and standardization for the digital economy.</w:t>
            </w:r>
          </w:p>
          <w:p>
            <w:pPr>
              <w:pStyle w:val="Style19"/>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Memoranda of cooperation with ASME, API, and ASTM.</w:t>
            </w:r>
          </w:p>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 xml:space="preserve">    • </w:t>
            </w: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Cooperation agreement with Kluczynski the Institute for the study of Russian and Chinese standards, China.</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lang w:val="en-US"/>
              </w:rPr>
              <w:t>D</w:t>
            </w: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uring the year</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Participation in the ISO General Assembly, Abu Dhabi, UAE.</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September</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 xml:space="preserve">Participation in the IEC General Assembly, Stockholm, Sweden. </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October</w:t>
            </w:r>
          </w:p>
        </w:tc>
      </w:tr>
      <w:tr>
        <w:trPr/>
        <w:tc>
          <w:tcPr>
            <w:tcW w:w="10665" w:type="dxa"/>
            <w:tcBorders>
              <w:left w:val="single" w:sz="4" w:space="0" w:color="000000"/>
              <w:bottom w:val="single" w:sz="4" w:space="0" w:color="000000"/>
            </w:tcBorders>
            <w:shd w:fill="auto" w:val="clear"/>
          </w:tcPr>
          <w:p>
            <w:pPr>
              <w:pStyle w:val="Style19"/>
              <w:rPr>
                <w:rFonts w:ascii="Times New Roman" w:hAnsi="Times New Roman"/>
                <w:sz w:val="24"/>
                <w:szCs w:val="24"/>
              </w:rPr>
            </w:pPr>
            <w:r>
              <w:rPr>
                <w:rFonts w:ascii="Times New Roman" w:hAnsi="Times New Roman"/>
                <w:sz w:val="24"/>
                <w:szCs w:val="24"/>
              </w:rPr>
              <w:t xml:space="preserve">Participation in the meeting of the Working </w:t>
            </w:r>
            <w:r>
              <w:rPr>
                <w:rFonts w:ascii="Times New Roman" w:hAnsi="Times New Roman"/>
                <w:sz w:val="24"/>
                <w:szCs w:val="24"/>
                <w:lang w:val="en-US"/>
              </w:rPr>
              <w:t xml:space="preserve">Party </w:t>
            </w:r>
            <w:r>
              <w:rPr>
                <w:rFonts w:ascii="Times New Roman" w:hAnsi="Times New Roman"/>
                <w:sz w:val="24"/>
                <w:szCs w:val="24"/>
              </w:rPr>
              <w:t>on standardization policies and regulatory cooperation of the UNECE WP 6, Geneva, Switzerland.</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November</w:t>
            </w:r>
          </w:p>
        </w:tc>
      </w:tr>
      <w:tr>
        <w:trPr/>
        <w:tc>
          <w:tcPr>
            <w:tcW w:w="14570" w:type="dxa"/>
            <w:gridSpan w:val="2"/>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b/>
                <w:bCs/>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bCs/>
                <w:i w:val="false"/>
                <w:iCs w:val="false"/>
                <w:strike w:val="false"/>
                <w:dstrike w:val="false"/>
                <w:outline w:val="false"/>
                <w:shadow w:val="false"/>
                <w:color w:val="000000"/>
                <w:sz w:val="24"/>
                <w:szCs w:val="24"/>
                <w:u w:val="none"/>
              </w:rPr>
              <w:t>IX. Events</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International conference "</w:t>
            </w: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lang w:val="en-US"/>
              </w:rPr>
              <w:t>D</w:t>
            </w: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evelopment of interstate standardization system", Moscow (held as part of the"Week of Russian business").</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Rescheduled to October 2020</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Round table "Standardization as a tool for expanding the use of gas-engine fuel, including in the form of liquefied natural gas", Moscow</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Cancelled</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Conference on foreign standards in cooperation with the Kodeks Consortium, Moscow.</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Cancelled</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Workshop on product certification and notification with the support of DAAKS (German accreditation body) and the German Ministry of economy and energy, Berlin.</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Cancelled</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Meeting of the Council for technical regulation and standardization for the digital economy of the RSPP and the Eastern Committee of the German economy, St. Petersburg.</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Cancelled</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Session on cooperation with German industry in the framework of the XXIV St. Petersburg international economic forum (SPIEF-2020), St. Petersburg.</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Cancelled</w:t>
            </w:r>
          </w:p>
        </w:tc>
      </w:tr>
      <w:tr>
        <w:trPr/>
        <w:tc>
          <w:tcPr>
            <w:tcW w:w="10665" w:type="dxa"/>
            <w:tcBorders>
              <w:left w:val="single" w:sz="4" w:space="0" w:color="000000"/>
              <w:bottom w:val="single" w:sz="4" w:space="0" w:color="000000"/>
            </w:tcBorders>
            <w:shd w:fill="auto" w:val="clear"/>
          </w:tcPr>
          <w:p>
            <w:pPr>
              <w:pStyle w:val="Style19"/>
              <w:rPr>
                <w:rFonts w:ascii="Times New Roman" w:hAnsi="Times New Roman"/>
                <w:sz w:val="24"/>
                <w:szCs w:val="24"/>
              </w:rPr>
            </w:pPr>
            <w:r>
              <w:rPr>
                <w:rFonts w:ascii="Times New Roman" w:hAnsi="Times New Roman"/>
                <w:sz w:val="24"/>
                <w:szCs w:val="24"/>
              </w:rPr>
              <w:t>International conference on topical issues of technical regulation, Yekaterinburg (held as part of the exhibition "INNOPROM-2020").</w:t>
            </w:r>
          </w:p>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July 9-12</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XV international conference "NEFTEGAZSTANDART-2020", Saint Petersburg</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 xml:space="preserve">November 10 - 13 </w:t>
            </w:r>
          </w:p>
        </w:tc>
      </w:tr>
      <w:tr>
        <w:trPr/>
        <w:tc>
          <w:tcPr>
            <w:tcW w:w="10665" w:type="dxa"/>
            <w:tcBorders>
              <w:left w:val="single" w:sz="4" w:space="0" w:color="000000"/>
              <w:bottom w:val="single" w:sz="4" w:space="0" w:color="000000"/>
            </w:tcBorders>
            <w:shd w:fill="auto" w:val="clear"/>
          </w:tcPr>
          <w:p>
            <w:pPr>
              <w:pStyle w:val="Style19"/>
              <w:rPr>
                <w:rFonts w:ascii="Times New Roman" w:hAnsi="Times New Roman"/>
                <w:sz w:val="24"/>
                <w:szCs w:val="24"/>
              </w:rPr>
            </w:pPr>
            <w:r>
              <w:rPr>
                <w:rFonts w:ascii="Times New Roman" w:hAnsi="Times New Roman"/>
                <w:sz w:val="24"/>
                <w:szCs w:val="24"/>
              </w:rPr>
              <w:t>IV all-Russian conference "CHERMETSTANDART-2020", Mosco</w:t>
            </w:r>
            <w:r>
              <w:rPr>
                <w:rFonts w:ascii="Times New Roman" w:hAnsi="Times New Roman"/>
                <w:sz w:val="24"/>
                <w:szCs w:val="24"/>
                <w:lang w:val="en-US"/>
              </w:rPr>
              <w:t>w</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October-November</w:t>
            </w:r>
          </w:p>
        </w:tc>
      </w:tr>
      <w:tr>
        <w:trPr/>
        <w:tc>
          <w:tcPr>
            <w:tcW w:w="10665" w:type="dxa"/>
            <w:tcBorders>
              <w:left w:val="single" w:sz="4" w:space="0" w:color="000000"/>
              <w:bottom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International conference on standardization and digitalization, Paris</w:t>
            </w:r>
          </w:p>
        </w:tc>
        <w:tc>
          <w:tcPr>
            <w:tcW w:w="3905" w:type="dxa"/>
            <w:tcBorders>
              <w:left w:val="single" w:sz="4" w:space="0" w:color="000000"/>
              <w:bottom w:val="single" w:sz="4" w:space="0" w:color="000000"/>
              <w:right w:val="single" w:sz="4" w:space="0" w:color="000000"/>
            </w:tcBorders>
            <w:shd w:fill="auto" w:val="clear"/>
          </w:tcPr>
          <w:p>
            <w:pPr>
              <w:pStyle w:val="Style19"/>
              <w:jc w:val="left"/>
              <w:rPr>
                <w:rFonts w:ascii="Times New Roman" w:hAnsi="Times New Roman" w:eastAsia="NSimSun" w:cs="Liberation Mono"/>
                <w:b w:val="false"/>
                <w:b w:val="false"/>
                <w:bCs w:val="false"/>
                <w:i w:val="false"/>
                <w:i w:val="false"/>
                <w:iCs w:val="false"/>
                <w:strike w:val="false"/>
                <w:dstrike w:val="false"/>
                <w:outline w:val="false"/>
                <w:shadow w:val="false"/>
                <w:color w:val="000000"/>
                <w:sz w:val="24"/>
                <w:szCs w:val="24"/>
                <w:u w:val="none"/>
              </w:rPr>
            </w:pPr>
            <w:r>
              <w:rPr>
                <w:rFonts w:eastAsia="NSimSun" w:cs="Liberation Mono" w:ascii="Times New Roman" w:hAnsi="Times New Roman"/>
                <w:b w:val="false"/>
                <w:bCs w:val="false"/>
                <w:i w:val="false"/>
                <w:iCs w:val="false"/>
                <w:strike w:val="false"/>
                <w:dstrike w:val="false"/>
                <w:outline w:val="false"/>
                <w:shadow w:val="false"/>
                <w:color w:val="000000"/>
                <w:sz w:val="24"/>
                <w:szCs w:val="24"/>
                <w:u w:val="none"/>
              </w:rPr>
              <w:t>November</w:t>
            </w:r>
          </w:p>
        </w:tc>
      </w:tr>
    </w:tbl>
    <w:p>
      <w:pPr>
        <w:pStyle w:val="Style19"/>
        <w:rPr>
          <w:rFonts w:ascii="Times New Roman" w:hAnsi="Times New Roman"/>
          <w:sz w:val="24"/>
          <w:szCs w:val="24"/>
        </w:rPr>
      </w:pPr>
      <w:r>
        <w:rPr>
          <w:rFonts w:ascii="Times New Roman" w:hAnsi="Times New Roman"/>
          <w:sz w:val="24"/>
          <w:szCs w:val="24"/>
        </w:rPr>
      </w:r>
    </w:p>
    <w:p>
      <w:pPr>
        <w:pStyle w:val="Style19"/>
        <w:rPr>
          <w:rFonts w:ascii="Times New Roman" w:hAnsi="Times New Roman"/>
          <w:sz w:val="24"/>
          <w:szCs w:val="24"/>
        </w:rPr>
      </w:pPr>
      <w:r>
        <w:rPr>
          <w:rFonts w:ascii="Times New Roman" w:hAnsi="Times New Roman"/>
          <w:sz w:val="24"/>
          <w:szCs w:val="24"/>
        </w:rPr>
      </w:r>
    </w:p>
    <w:p>
      <w:pPr>
        <w:pStyle w:val="Style19"/>
        <w:rPr>
          <w:rFonts w:ascii="Times New Roman" w:hAnsi="Times New Roman"/>
          <w:sz w:val="24"/>
          <w:szCs w:val="24"/>
        </w:rPr>
      </w:pPr>
      <w:r>
        <w:rPr>
          <w:rFonts w:ascii="Times New Roman" w:hAnsi="Times New Roman"/>
          <w:sz w:val="24"/>
          <w:szCs w:val="24"/>
        </w:rPr>
      </w:r>
    </w:p>
    <w:p>
      <w:pPr>
        <w:pStyle w:val="Style19"/>
        <w:rPr>
          <w:rFonts w:ascii="Times New Roman" w:hAnsi="Times New Roman"/>
          <w:sz w:val="24"/>
          <w:szCs w:val="24"/>
        </w:rPr>
      </w:pPr>
      <w:r>
        <w:rPr>
          <w:rFonts w:ascii="Times New Roman" w:hAnsi="Times New Roman"/>
          <w:sz w:val="24"/>
          <w:szCs w:val="24"/>
        </w:rPr>
      </w:r>
    </w:p>
    <w:p>
      <w:pPr>
        <w:pStyle w:val="Style19"/>
        <w:rPr>
          <w:rFonts w:ascii="Times New Roman" w:hAnsi="Times New Roman"/>
          <w:sz w:val="24"/>
          <w:szCs w:val="24"/>
        </w:rPr>
      </w:pPr>
      <w:r>
        <w:rPr>
          <w:rFonts w:ascii="Times New Roman" w:hAnsi="Times New Roman"/>
          <w:sz w:val="24"/>
          <w:szCs w:val="24"/>
        </w:rPr>
      </w:r>
    </w:p>
    <w:p>
      <w:pPr>
        <w:pStyle w:val="Style19"/>
        <w:rPr>
          <w:rFonts w:ascii="Times New Roman" w:hAnsi="Times New Roman"/>
          <w:sz w:val="24"/>
          <w:szCs w:val="24"/>
        </w:rPr>
      </w:pPr>
      <w:r>
        <w:rPr>
          <w:rFonts w:ascii="Times New Roman" w:hAnsi="Times New Roman"/>
          <w:sz w:val="24"/>
          <w:szCs w:val="24"/>
        </w:rPr>
      </w:r>
    </w:p>
    <w:p>
      <w:pPr>
        <w:pStyle w:val="Style19"/>
        <w:rPr>
          <w:rFonts w:ascii="Times New Roman" w:hAnsi="Times New Roman"/>
          <w:sz w:val="24"/>
          <w:szCs w:val="24"/>
        </w:rPr>
      </w:pPr>
      <w:r>
        <w:rPr>
          <w:rFonts w:ascii="Times New Roman" w:hAnsi="Times New Roman"/>
          <w:sz w:val="24"/>
          <w:szCs w:val="24"/>
        </w:rPr>
      </w:r>
    </w:p>
    <w:p>
      <w:pPr>
        <w:pStyle w:val="Style19"/>
        <w:rPr>
          <w:rFonts w:ascii="Times New Roman" w:hAnsi="Times New Roman"/>
          <w:sz w:val="24"/>
          <w:szCs w:val="24"/>
        </w:rPr>
      </w:pPr>
      <w:r>
        <w:rPr>
          <w:rFonts w:ascii="Times New Roman" w:hAnsi="Times New Roman"/>
          <w:sz w:val="24"/>
          <w:szCs w:val="24"/>
        </w:rPr>
      </w:r>
    </w:p>
    <w:p>
      <w:pPr>
        <w:pStyle w:val="Style19"/>
        <w:rPr>
          <w:rFonts w:ascii="Times New Roman" w:hAnsi="Times New Roman"/>
          <w:sz w:val="24"/>
          <w:szCs w:val="24"/>
        </w:rPr>
      </w:pPr>
      <w:r>
        <w:rPr>
          <w:rFonts w:ascii="Times New Roman" w:hAnsi="Times New Roman"/>
          <w:sz w:val="24"/>
          <w:szCs w:val="24"/>
        </w:rPr>
      </w:r>
    </w:p>
    <w:sectPr>
      <w:type w:val="nextPage"/>
      <w:pgSz w:orient="landscape" w:w="16838" w:h="11906"/>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Liberation Sans">
    <w:altName w:val="Arial"/>
    <w:charset w:val="cc"/>
    <w:family w:val="swiss"/>
    <w:pitch w:val="variable"/>
  </w:font>
  <w:font w:name="Liberation Mono">
    <w:altName w:val="Courier New"/>
    <w:charset w:val="cc"/>
    <w:family w:val="modern"/>
    <w:pitch w:val="fixed"/>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4"/>
        <w:szCs w:val="24"/>
        <w:lang w:val="ru-RU" w:eastAsia="zh-CN" w:bidi="hi-IN"/>
      </w:rPr>
    </w:rPrDefault>
    <w:pPrDefault>
      <w:pPr/>
    </w:pPrDefault>
  </w:docDefaults>
  <w:style w:type="paragraph" w:styleId="Normal">
    <w:name w:val="Normal"/>
    <w:qFormat/>
    <w:pPr>
      <w:widowControl w:val="false"/>
    </w:pPr>
    <w:rPr>
      <w:rFonts w:ascii="Times New Roman" w:hAnsi="Times New Roman" w:eastAsia="NSimSun" w:cs="Lucida Sans"/>
      <w:color w:val="auto"/>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Текст в заданном формате"/>
    <w:basedOn w:val="Normal"/>
    <w:qFormat/>
    <w:pPr>
      <w:spacing w:before="0" w:after="0"/>
    </w:pPr>
    <w:rPr>
      <w:rFonts w:ascii="Liberation Mono" w:hAnsi="Liberation Mono" w:eastAsia="NSimSun" w:cs="Liberation Mono"/>
      <w:sz w:val="20"/>
      <w:szCs w:val="20"/>
    </w:rPr>
  </w:style>
  <w:style w:type="paragraph" w:styleId="Style20">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Neat_Office/6.2.8.2$Windows_x86 LibreOffice_project/</Application>
  <Pages>7</Pages>
  <Words>1992</Words>
  <Characters>12275</Characters>
  <CharactersWithSpaces>14334</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2020-03-23T17:37:36Z</dcterms:modified>
  <cp:revision>1</cp:revision>
  <dc:subject/>
  <dc:title/>
</cp:coreProperties>
</file>